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1C" w:rsidRDefault="00E3371C">
      <w:pPr>
        <w:pStyle w:val="ConsPlusNormal"/>
        <w:widowControl/>
        <w:ind w:left="8460"/>
      </w:pPr>
      <w:r>
        <w:rPr>
          <w:rFonts w:cs="Times New Roman"/>
        </w:rPr>
        <w:t xml:space="preserve">Приложение № 1 </w:t>
      </w:r>
    </w:p>
    <w:p w:rsidR="00E3371C" w:rsidRDefault="00E3371C">
      <w:pPr>
        <w:pStyle w:val="ConsPlusNormal"/>
        <w:widowControl/>
        <w:ind w:left="8460"/>
      </w:pPr>
      <w:r>
        <w:rPr>
          <w:rFonts w:cs="Times New Roman"/>
        </w:rPr>
        <w:t>к паспорту муниципальной программы «Поддержка и сохранение культурного потенциала на территории Таятского сельсовета на 2014-2016 годы»</w:t>
      </w:r>
    </w:p>
    <w:p w:rsidR="00E3371C" w:rsidRDefault="00E3371C">
      <w:pPr>
        <w:pStyle w:val="ConsPlusNormal"/>
        <w:widowControl/>
        <w:jc w:val="right"/>
      </w:pPr>
    </w:p>
    <w:p w:rsidR="00E3371C" w:rsidRDefault="00E3371C">
      <w:pPr>
        <w:pStyle w:val="ConsPlusNormal"/>
        <w:widowControl/>
        <w:jc w:val="center"/>
      </w:pPr>
      <w:r>
        <w:rPr>
          <w:rFonts w:cs="Times New Roman"/>
        </w:rPr>
        <w:t xml:space="preserve">Цели, целевые показатели, задачи, показатели результативности </w:t>
      </w:r>
    </w:p>
    <w:p w:rsidR="00E3371C" w:rsidRDefault="00E3371C">
      <w:pPr>
        <w:pStyle w:val="ConsPlusNormal"/>
        <w:widowControl/>
        <w:jc w:val="center"/>
      </w:pPr>
      <w:r>
        <w:rPr>
          <w:rFonts w:cs="Times New Roman"/>
        </w:rPr>
        <w:t>(показатели развития отрасли, вида экономической деятельности)</w:t>
      </w:r>
    </w:p>
    <w:p w:rsidR="00E3371C" w:rsidRDefault="00E3371C">
      <w:pPr>
        <w:pStyle w:val="a"/>
      </w:pPr>
    </w:p>
    <w:tbl>
      <w:tblPr>
        <w:tblW w:w="14939" w:type="dxa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697"/>
        <w:gridCol w:w="2408"/>
        <w:gridCol w:w="1292"/>
        <w:gridCol w:w="1331"/>
        <w:gridCol w:w="1911"/>
        <w:gridCol w:w="1493"/>
        <w:gridCol w:w="1554"/>
        <w:gridCol w:w="1493"/>
        <w:gridCol w:w="1380"/>
        <w:gridCol w:w="1380"/>
      </w:tblGrid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 xml:space="preserve">№  </w:t>
            </w:r>
            <w:r>
              <w:rPr>
                <w:rFonts w:cs="Times New Roman"/>
              </w:rPr>
              <w:br/>
              <w:t>п/п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 xml:space="preserve">Цели,    </w:t>
            </w:r>
            <w:r>
              <w:rPr>
                <w:rFonts w:cs="Times New Roman"/>
              </w:rPr>
              <w:br/>
              <w:t xml:space="preserve">задачи,   </w:t>
            </w:r>
            <w:r>
              <w:rPr>
                <w:rFonts w:cs="Times New Roman"/>
              </w:rPr>
              <w:br/>
              <w:t xml:space="preserve">показатели </w:t>
            </w:r>
            <w:r>
              <w:rPr>
                <w:rFonts w:cs="Times New Roman"/>
              </w:rPr>
              <w:br/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>Единица</w:t>
            </w:r>
            <w:r>
              <w:rPr>
                <w:rFonts w:cs="Times New Roman"/>
              </w:rPr>
              <w:br/>
              <w:t>измерения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 xml:space="preserve">Вес показателя </w:t>
            </w:r>
            <w:r>
              <w:rPr>
                <w:rFonts w:cs="Times New Roman"/>
              </w:rPr>
              <w:br/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 xml:space="preserve">Источник </w:t>
            </w:r>
            <w:r>
              <w:rPr>
                <w:rFonts w:cs="Times New Roman"/>
              </w:rPr>
              <w:br/>
              <w:t>информации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>Отчетный финансовый год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>Текущий финансовый год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>Очередной финансовый год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>Первый год планового периода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  <w:r>
              <w:rPr>
                <w:rFonts w:cs="Times New Roman"/>
              </w:rPr>
              <w:t>Второй год планового периода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 xml:space="preserve">1    </w:t>
            </w:r>
          </w:p>
        </w:tc>
        <w:tc>
          <w:tcPr>
            <w:tcW w:w="142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 xml:space="preserve">Цель: Создание условий для развития и реализации культурного и духовного потенциала населения на территории Таятского сельсовета      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количество посетителей культурно-досуговых мероприятий проводимых муниципальным учреждением культуры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7-НК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7827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a"/>
            </w:pPr>
            <w:r>
              <w:t>количество клубных формирований действующих в учреждении культуры;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штука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7-НК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Pr="00C84479" w:rsidRDefault="00E3371C" w:rsidP="00D3118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479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библиотеки;</w:t>
            </w:r>
          </w:p>
          <w:p w:rsidR="00E3371C" w:rsidRPr="00D31182" w:rsidRDefault="00E3371C">
            <w:pPr>
              <w:pStyle w:val="a"/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6-НК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391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391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395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395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395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Pr="00C84479" w:rsidRDefault="00E3371C" w:rsidP="00D3118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479">
              <w:rPr>
                <w:rFonts w:ascii="Times New Roman" w:hAnsi="Times New Roman"/>
                <w:sz w:val="24"/>
                <w:szCs w:val="24"/>
              </w:rPr>
              <w:t>количество выданных экземпляров за отчетный период;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штука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6-НК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16224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16225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16225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16225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16225</w:t>
            </w:r>
          </w:p>
        </w:tc>
      </w:tr>
      <w:tr w:rsidR="00E3371C" w:rsidRPr="00C84479" w:rsidTr="00D5411B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 xml:space="preserve">1.1 </w:t>
            </w:r>
          </w:p>
        </w:tc>
        <w:tc>
          <w:tcPr>
            <w:tcW w:w="142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Задача 1    Сохранение и эффективное использование культурного потенциала,  поддержка и развитие различных форм творчества.</w:t>
            </w:r>
          </w:p>
        </w:tc>
      </w:tr>
      <w:tr w:rsidR="00E3371C" w:rsidRPr="00C84479" w:rsidTr="0034038E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1.1.1</w:t>
            </w:r>
          </w:p>
        </w:tc>
        <w:tc>
          <w:tcPr>
            <w:tcW w:w="142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 xml:space="preserve">Подпрограмма 1.1«Организация культурного досуга и создание условий для массового отдыха и </w:t>
            </w:r>
            <w:r w:rsidRPr="00D31182">
              <w:rPr>
                <w:rFonts w:cs="Times New Roman"/>
              </w:rPr>
              <w:t>работы клубных формирований</w:t>
            </w:r>
            <w:r>
              <w:rPr>
                <w:rFonts w:cs="Times New Roman"/>
              </w:rPr>
              <w:t>»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- количество посетителей культурно-досуговых мероприятий, проводимых муниципальным учреждением культуры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7-НК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7827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7900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a"/>
            </w:pPr>
            <w:r>
              <w:t>- доля  культурно-досуговых мероприятий для детей (семейной аудитории)  к общему количеству мероприятий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процент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7-НК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59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60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60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a"/>
            </w:pPr>
            <w:r>
              <w:t>- количество участников, человек занимающихся в клубных формированиях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7-НК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94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94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100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100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100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a"/>
            </w:pPr>
            <w:r>
              <w:t>- количество клубных формирований действующих в учреждении культуры;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штука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7-НК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11</w:t>
            </w:r>
          </w:p>
        </w:tc>
      </w:tr>
      <w:tr w:rsidR="00E3371C" w:rsidRPr="00C84479" w:rsidTr="005C5833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1.2</w:t>
            </w:r>
          </w:p>
        </w:tc>
        <w:tc>
          <w:tcPr>
            <w:tcW w:w="14242" w:type="dxa"/>
            <w:gridSpan w:val="9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Задача 2</w:t>
            </w:r>
            <w:r>
              <w:rPr>
                <w:sz w:val="28"/>
                <w:szCs w:val="28"/>
              </w:rPr>
              <w:t xml:space="preserve"> </w:t>
            </w:r>
            <w:r w:rsidRPr="00D31182">
              <w:rPr>
                <w:rFonts w:cs="Times New Roman"/>
              </w:rPr>
              <w:t>Организация работы по библиотечному, библиографическому и информационному обслуживанию населения.</w:t>
            </w:r>
            <w:r w:rsidRPr="00D31182">
              <w:t xml:space="preserve">   </w:t>
            </w:r>
          </w:p>
        </w:tc>
      </w:tr>
      <w:tr w:rsidR="00E3371C" w:rsidRPr="00C84479" w:rsidTr="007C566B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1.2.1</w:t>
            </w:r>
          </w:p>
        </w:tc>
        <w:tc>
          <w:tcPr>
            <w:tcW w:w="142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Подпрограмма 1.2 «</w:t>
            </w:r>
            <w:r w:rsidRPr="00D31182">
              <w:rPr>
                <w:rFonts w:cs="Times New Roman"/>
              </w:rPr>
              <w:t>Организация работы по  библиотечному, библиографическому  и информационному обслуживанию населения</w:t>
            </w:r>
            <w:r>
              <w:rPr>
                <w:rFonts w:cs="Times New Roman"/>
              </w:rPr>
              <w:t>»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Pr="00C84479" w:rsidRDefault="00E3371C" w:rsidP="001F1451">
            <w:pPr>
              <w:suppressAutoHyphens/>
              <w:autoSpaceDE w:val="0"/>
              <w:spacing w:after="0" w:line="240" w:lineRule="auto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 w:rsidRPr="00C84479">
              <w:rPr>
                <w:rFonts w:ascii="Times New Roman" w:hAnsi="Times New Roman"/>
                <w:sz w:val="24"/>
                <w:szCs w:val="24"/>
              </w:rPr>
              <w:t>-количество зарегистрированных пользователей ;</w:t>
            </w:r>
          </w:p>
          <w:p w:rsidR="00E3371C" w:rsidRDefault="00E3371C">
            <w:pPr>
              <w:pStyle w:val="a"/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человек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6-НК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391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391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395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395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395</w:t>
            </w:r>
            <w:bookmarkStart w:id="0" w:name="_GoBack"/>
            <w:bookmarkEnd w:id="0"/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Pr="00C84479" w:rsidRDefault="00E3371C" w:rsidP="000960DC">
            <w:pPr>
              <w:suppressAutoHyphens/>
              <w:autoSpaceDE w:val="0"/>
              <w:spacing w:after="0" w:line="240" w:lineRule="auto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 w:rsidRPr="00C84479">
              <w:rPr>
                <w:rFonts w:ascii="Times New Roman" w:hAnsi="Times New Roman"/>
                <w:sz w:val="24"/>
                <w:szCs w:val="24"/>
              </w:rPr>
              <w:t>-количество зарегистрированных пользователей в возрасте 14/30 лет;</w:t>
            </w:r>
          </w:p>
          <w:p w:rsidR="00E3371C" w:rsidRDefault="00E3371C" w:rsidP="000960DC">
            <w:pPr>
              <w:pStyle w:val="a"/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t>человек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6-НК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96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102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102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t>102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  <w:r>
              <w:rPr>
                <w:rFonts w:cs="Times New Roman"/>
              </w:rPr>
              <w:t>102</w:t>
            </w:r>
          </w:p>
        </w:tc>
      </w:tr>
      <w:tr w:rsidR="00E3371C" w:rsidRPr="00C84479" w:rsidTr="001F1451">
        <w:trPr>
          <w:cantSplit/>
          <w:trHeight w:val="240"/>
        </w:trPr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>
            <w:pPr>
              <w:pStyle w:val="ConsPlusNormal"/>
              <w:widowControl/>
            </w:pP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a"/>
            </w:pPr>
            <w:r>
              <w:t>-количество выданных экземпляров за отчетный период;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  <w:jc w:val="center"/>
            </w:pPr>
          </w:p>
        </w:tc>
        <w:tc>
          <w:tcPr>
            <w:tcW w:w="19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Ежемесячный, ежеквартальный и статистический отчеты формы 6-НК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t>16224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t>16225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t>16225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t>16225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1C" w:rsidRDefault="00E3371C" w:rsidP="000960DC">
            <w:pPr>
              <w:pStyle w:val="ConsPlusNormal"/>
              <w:widowControl/>
            </w:pPr>
            <w:r>
              <w:rPr>
                <w:rFonts w:cs="Times New Roman"/>
              </w:rPr>
              <w:t>16225</w:t>
            </w:r>
          </w:p>
        </w:tc>
      </w:tr>
    </w:tbl>
    <w:p w:rsidR="00E3371C" w:rsidRDefault="00E3371C">
      <w:pPr>
        <w:pStyle w:val="ConsPlusNormal"/>
        <w:widowControl/>
        <w:jc w:val="both"/>
      </w:pPr>
    </w:p>
    <w:p w:rsidR="00E3371C" w:rsidRDefault="00E3371C">
      <w:pPr>
        <w:pStyle w:val="ConsPlusNormal"/>
        <w:widowControl/>
        <w:jc w:val="both"/>
      </w:pPr>
      <w:r>
        <w:rPr>
          <w:rFonts w:cs="Times New Roman"/>
        </w:rPr>
        <w:t>Руководитель                                                                                                                                                              Л.К.Пастухова</w:t>
      </w:r>
    </w:p>
    <w:p w:rsidR="00E3371C" w:rsidRDefault="00E3371C">
      <w:pPr>
        <w:pStyle w:val="a"/>
      </w:pPr>
    </w:p>
    <w:p w:rsidR="00E3371C" w:rsidRDefault="00E3371C">
      <w:pPr>
        <w:pStyle w:val="a"/>
      </w:pPr>
      <w:r>
        <w:t xml:space="preserve">Глава Таятского сельсовета                                                                                                              </w:t>
      </w:r>
      <w:bookmarkStart w:id="1" w:name="_GoBack1"/>
      <w:bookmarkEnd w:id="1"/>
      <w:r>
        <w:t xml:space="preserve">                        Ф.П.Иванов.</w:t>
      </w:r>
    </w:p>
    <w:p w:rsidR="00E3371C" w:rsidRDefault="00E3371C">
      <w:pPr>
        <w:pStyle w:val="a"/>
      </w:pPr>
    </w:p>
    <w:sectPr w:rsidR="00E3371C" w:rsidSect="00F64848">
      <w:pgSz w:w="16837" w:h="11905" w:orient="landscape"/>
      <w:pgMar w:top="899" w:right="998" w:bottom="284" w:left="144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48"/>
    <w:rsid w:val="000960DC"/>
    <w:rsid w:val="000B32BC"/>
    <w:rsid w:val="0016324B"/>
    <w:rsid w:val="001B08A9"/>
    <w:rsid w:val="001F1451"/>
    <w:rsid w:val="00222AAC"/>
    <w:rsid w:val="00260535"/>
    <w:rsid w:val="0034038E"/>
    <w:rsid w:val="004C5731"/>
    <w:rsid w:val="005C5833"/>
    <w:rsid w:val="007C566B"/>
    <w:rsid w:val="00831FA6"/>
    <w:rsid w:val="00852962"/>
    <w:rsid w:val="00865299"/>
    <w:rsid w:val="00B17105"/>
    <w:rsid w:val="00BD4801"/>
    <w:rsid w:val="00C07FAA"/>
    <w:rsid w:val="00C84479"/>
    <w:rsid w:val="00D31182"/>
    <w:rsid w:val="00D37698"/>
    <w:rsid w:val="00D5411B"/>
    <w:rsid w:val="00DB7909"/>
    <w:rsid w:val="00E3371C"/>
    <w:rsid w:val="00F6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F64848"/>
    <w:pPr>
      <w:tabs>
        <w:tab w:val="left" w:pos="709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F64848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F64848"/>
    <w:rPr>
      <w:rFonts w:cs="Times New Roman"/>
    </w:rPr>
  </w:style>
  <w:style w:type="paragraph" w:customStyle="1" w:styleId="a0">
    <w:name w:val="Заголовок"/>
    <w:basedOn w:val="a"/>
    <w:next w:val="BodyText"/>
    <w:uiPriority w:val="99"/>
    <w:rsid w:val="00F6484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F64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F64848"/>
  </w:style>
  <w:style w:type="paragraph" w:styleId="Title">
    <w:name w:val="Title"/>
    <w:basedOn w:val="a"/>
    <w:link w:val="TitleChar"/>
    <w:uiPriority w:val="99"/>
    <w:qFormat/>
    <w:rsid w:val="00F6484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B7909"/>
    <w:pPr>
      <w:ind w:left="220" w:hanging="220"/>
    </w:pPr>
  </w:style>
  <w:style w:type="paragraph" w:styleId="IndexHeading">
    <w:name w:val="index heading"/>
    <w:basedOn w:val="a"/>
    <w:uiPriority w:val="99"/>
    <w:rsid w:val="00F64848"/>
    <w:pPr>
      <w:suppressLineNumbers/>
    </w:pPr>
  </w:style>
  <w:style w:type="paragraph" w:styleId="Subtitle">
    <w:name w:val="Subtitle"/>
    <w:basedOn w:val="a0"/>
    <w:next w:val="BodyText"/>
    <w:link w:val="SubtitleChar"/>
    <w:uiPriority w:val="99"/>
    <w:qFormat/>
    <w:rsid w:val="00F6484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F64848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DejaVu Sans"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"/>
    <w:basedOn w:val="a"/>
    <w:uiPriority w:val="99"/>
    <w:rsid w:val="00F64848"/>
  </w:style>
  <w:style w:type="paragraph" w:styleId="Header">
    <w:name w:val="header"/>
    <w:basedOn w:val="a"/>
    <w:link w:val="HeaderChar1"/>
    <w:uiPriority w:val="99"/>
    <w:rsid w:val="00F64848"/>
    <w:pPr>
      <w:suppressLineNumbers/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a"/>
    <w:link w:val="FooterChar1"/>
    <w:uiPriority w:val="99"/>
    <w:rsid w:val="00F64848"/>
    <w:pPr>
      <w:suppressLineNumbers/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a2">
    <w:name w:val="Содержимое таблицы"/>
    <w:basedOn w:val="a"/>
    <w:uiPriority w:val="99"/>
    <w:rsid w:val="00F64848"/>
    <w:pPr>
      <w:suppressLineNumbers/>
    </w:pPr>
  </w:style>
  <w:style w:type="paragraph" w:customStyle="1" w:styleId="a3">
    <w:name w:val="Заголовок таблицы"/>
    <w:basedOn w:val="a2"/>
    <w:uiPriority w:val="99"/>
    <w:rsid w:val="00F648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497</Words>
  <Characters>2836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Bektyshkina</cp:lastModifiedBy>
  <cp:revision>21</cp:revision>
  <cp:lastPrinted>2013-07-03T07:10:00Z</cp:lastPrinted>
  <dcterms:created xsi:type="dcterms:W3CDTF">2013-06-04T04:37:00Z</dcterms:created>
  <dcterms:modified xsi:type="dcterms:W3CDTF">2013-11-08T16:40:00Z</dcterms:modified>
</cp:coreProperties>
</file>